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95" w:rsidRPr="00F41495" w:rsidRDefault="00F41495" w:rsidP="00F41495">
      <w:pPr>
        <w:spacing w:after="240"/>
        <w:jc w:val="both"/>
        <w:rPr>
          <w:rFonts w:ascii="Open Sans" w:hAnsi="Open Sans" w:cs="Open Sans"/>
          <w:b/>
          <w:sz w:val="22"/>
          <w:szCs w:val="22"/>
        </w:rPr>
      </w:pPr>
      <w:r w:rsidRPr="00F41495">
        <w:rPr>
          <w:rFonts w:ascii="Open Sans" w:hAnsi="Open Sans" w:cs="Open Sans"/>
          <w:b/>
          <w:sz w:val="22"/>
          <w:szCs w:val="22"/>
        </w:rPr>
        <w:t>Órgão/Entidade fiscalizado:</w:t>
      </w:r>
    </w:p>
    <w:p w:rsidR="00F41495" w:rsidRPr="00947F9D" w:rsidRDefault="00F41495" w:rsidP="00F41495">
      <w:pPr>
        <w:spacing w:after="240"/>
        <w:jc w:val="both"/>
        <w:rPr>
          <w:rFonts w:ascii="Open Sans" w:hAnsi="Open Sans" w:cs="Open Sans"/>
          <w:sz w:val="20"/>
          <w:szCs w:val="22"/>
        </w:rPr>
      </w:pPr>
      <w:r>
        <w:rPr>
          <w:rFonts w:ascii="Open Sans" w:hAnsi="Open Sans" w:cs="Open Sans"/>
          <w:b/>
          <w:sz w:val="20"/>
          <w:szCs w:val="22"/>
        </w:rPr>
        <w:t>Problema de auditoria</w:t>
      </w:r>
      <w:r w:rsidRPr="00947F9D">
        <w:rPr>
          <w:rFonts w:ascii="Open Sans" w:eastAsia="Calibri" w:hAnsi="Open Sans" w:cs="Open Sans"/>
          <w:sz w:val="20"/>
          <w:szCs w:val="22"/>
        </w:rPr>
        <w:t>:</w:t>
      </w:r>
      <w:r w:rsidRPr="00947F9D">
        <w:rPr>
          <w:rFonts w:ascii="Open Sans" w:hAnsi="Open Sans" w:cs="Open Sans"/>
          <w:sz w:val="20"/>
          <w:szCs w:val="22"/>
        </w:rPr>
        <w:t xml:space="preserve"> </w:t>
      </w:r>
      <w:proofErr w:type="gramStart"/>
      <w:r w:rsidRPr="00F41495">
        <w:rPr>
          <w:rFonts w:ascii="Open Sans" w:eastAsia="Calibri" w:hAnsi="Open Sans" w:cs="Open Sans"/>
          <w:i/>
          <w:sz w:val="20"/>
          <w:szCs w:val="22"/>
        </w:rPr>
        <w:t>[Breve</w:t>
      </w:r>
      <w:proofErr w:type="gramEnd"/>
      <w:r w:rsidRPr="00F41495">
        <w:rPr>
          <w:rFonts w:ascii="Open Sans" w:eastAsia="Calibri" w:hAnsi="Open Sans" w:cs="Open Sans"/>
          <w:i/>
          <w:sz w:val="20"/>
          <w:szCs w:val="22"/>
        </w:rPr>
        <w:t xml:space="preserve"> descrição do objeto e do problema de auditoria, aquilo que motivou a realização da fiscalização e que se pretende solucionar a partir das questões levantadas]</w:t>
      </w:r>
      <w:r w:rsidRPr="00F41495">
        <w:rPr>
          <w:rFonts w:ascii="Open Sans" w:hAnsi="Open Sans" w:cs="Open Sans"/>
          <w:i/>
          <w:sz w:val="20"/>
          <w:szCs w:val="22"/>
        </w:rPr>
        <w:t>.</w:t>
      </w:r>
    </w:p>
    <w:tbl>
      <w:tblPr>
        <w:tblStyle w:val="Tabelacomgrade8"/>
        <w:tblW w:w="0" w:type="auto"/>
        <w:tblLook w:val="04A0" w:firstRow="1" w:lastRow="0" w:firstColumn="1" w:lastColumn="0" w:noHBand="0" w:noVBand="1"/>
      </w:tblPr>
      <w:tblGrid>
        <w:gridCol w:w="1859"/>
        <w:gridCol w:w="1919"/>
        <w:gridCol w:w="1864"/>
        <w:gridCol w:w="1878"/>
        <w:gridCol w:w="1778"/>
        <w:gridCol w:w="1773"/>
        <w:gridCol w:w="1917"/>
      </w:tblGrid>
      <w:tr w:rsidR="007B5FF5" w:rsidRPr="00947F9D" w:rsidTr="00451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8" w:type="dxa"/>
            <w:shd w:val="clear" w:color="auto" w:fill="1F3864" w:themeFill="accent5" w:themeFillShade="80"/>
            <w:vAlign w:val="center"/>
          </w:tcPr>
          <w:p w:rsidR="00451FF9" w:rsidRPr="00947F9D" w:rsidRDefault="00451FF9" w:rsidP="00240DC1">
            <w:pPr>
              <w:jc w:val="center"/>
              <w:rPr>
                <w:rFonts w:ascii="Open Sans" w:hAnsi="Open Sans" w:cs="Open Sans"/>
                <w:b w:val="0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DESCRIÇÃO DO ACHADO</w:t>
            </w:r>
          </w:p>
        </w:tc>
        <w:tc>
          <w:tcPr>
            <w:tcW w:w="1951" w:type="dxa"/>
            <w:shd w:val="clear" w:color="auto" w:fill="1F3864" w:themeFill="accent5" w:themeFillShade="80"/>
            <w:vAlign w:val="center"/>
          </w:tcPr>
          <w:p w:rsidR="00451FF9" w:rsidRPr="00947F9D" w:rsidRDefault="00451FF9" w:rsidP="00240DC1">
            <w:pPr>
              <w:jc w:val="center"/>
              <w:rPr>
                <w:rFonts w:ascii="Open Sans" w:hAnsi="Open Sans" w:cs="Open Sans"/>
                <w:b w:val="0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SITUAÇÃO ENCONTRADA</w:t>
            </w:r>
          </w:p>
        </w:tc>
        <w:tc>
          <w:tcPr>
            <w:tcW w:w="1903" w:type="dxa"/>
            <w:shd w:val="clear" w:color="auto" w:fill="1F3864" w:themeFill="accent5" w:themeFillShade="80"/>
            <w:vAlign w:val="center"/>
          </w:tcPr>
          <w:p w:rsidR="00451FF9" w:rsidRPr="00947F9D" w:rsidRDefault="00451FF9" w:rsidP="00240DC1">
            <w:pPr>
              <w:jc w:val="center"/>
              <w:rPr>
                <w:rFonts w:ascii="Open Sans" w:hAnsi="Open Sans" w:cs="Open Sans"/>
                <w:b w:val="0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CRITÉRIOS DE AUDITORIA</w:t>
            </w:r>
          </w:p>
        </w:tc>
        <w:tc>
          <w:tcPr>
            <w:tcW w:w="1914" w:type="dxa"/>
            <w:shd w:val="clear" w:color="auto" w:fill="1F3864" w:themeFill="accent5" w:themeFillShade="80"/>
            <w:vAlign w:val="center"/>
          </w:tcPr>
          <w:p w:rsidR="00451FF9" w:rsidRPr="00947F9D" w:rsidRDefault="00451FF9" w:rsidP="00240DC1">
            <w:pPr>
              <w:jc w:val="center"/>
              <w:rPr>
                <w:rFonts w:ascii="Open Sans" w:hAnsi="Open Sans" w:cs="Open Sans"/>
                <w:b w:val="0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EVIDÊNCIAS E ANÁLISES</w:t>
            </w:r>
          </w:p>
        </w:tc>
        <w:tc>
          <w:tcPr>
            <w:tcW w:w="1829" w:type="dxa"/>
            <w:shd w:val="clear" w:color="auto" w:fill="1F3864" w:themeFill="accent5" w:themeFillShade="80"/>
            <w:vAlign w:val="center"/>
          </w:tcPr>
          <w:p w:rsidR="00451FF9" w:rsidRPr="00947F9D" w:rsidRDefault="00451FF9" w:rsidP="00240DC1">
            <w:pPr>
              <w:jc w:val="center"/>
              <w:rPr>
                <w:rFonts w:ascii="Open Sans" w:hAnsi="Open Sans" w:cs="Open Sans"/>
                <w:b w:val="0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CAUSAS</w:t>
            </w:r>
          </w:p>
        </w:tc>
        <w:tc>
          <w:tcPr>
            <w:tcW w:w="1822" w:type="dxa"/>
            <w:shd w:val="clear" w:color="auto" w:fill="1F3864" w:themeFill="accent5" w:themeFillShade="80"/>
            <w:vAlign w:val="center"/>
          </w:tcPr>
          <w:p w:rsidR="00451FF9" w:rsidRPr="00947F9D" w:rsidRDefault="00451FF9" w:rsidP="00240DC1">
            <w:pPr>
              <w:jc w:val="center"/>
              <w:rPr>
                <w:rFonts w:ascii="Open Sans" w:hAnsi="Open Sans" w:cs="Open Sans"/>
                <w:b w:val="0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EFEITOS</w:t>
            </w:r>
          </w:p>
        </w:tc>
        <w:tc>
          <w:tcPr>
            <w:tcW w:w="1671" w:type="dxa"/>
            <w:shd w:val="clear" w:color="auto" w:fill="1F3864" w:themeFill="accent5" w:themeFillShade="80"/>
            <w:vAlign w:val="center"/>
          </w:tcPr>
          <w:p w:rsidR="00451FF9" w:rsidRDefault="00451FF9" w:rsidP="00451FF9">
            <w:pPr>
              <w:jc w:val="center"/>
              <w:rPr>
                <w:rFonts w:ascii="Open Sans" w:hAnsi="Open Sans" w:cs="Open Sans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RECOMENDAÇÕES</w:t>
            </w:r>
          </w:p>
          <w:p w:rsidR="007B5FF5" w:rsidRDefault="007B5FF5" w:rsidP="00451FF9">
            <w:pPr>
              <w:jc w:val="center"/>
              <w:rPr>
                <w:rFonts w:ascii="Open Sans" w:hAnsi="Open Sans" w:cs="Open Sans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ENCAMINHAMENTOS</w:t>
            </w:r>
          </w:p>
        </w:tc>
      </w:tr>
      <w:tr w:rsidR="007B5FF5" w:rsidRPr="00947F9D" w:rsidTr="00451FF9">
        <w:tc>
          <w:tcPr>
            <w:tcW w:w="1898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A1</w:t>
            </w:r>
          </w:p>
        </w:tc>
        <w:tc>
          <w:tcPr>
            <w:tcW w:w="195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03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14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9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2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67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</w:tr>
      <w:tr w:rsidR="007B5FF5" w:rsidRPr="00947F9D" w:rsidTr="00451FF9">
        <w:tc>
          <w:tcPr>
            <w:tcW w:w="1898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A2</w:t>
            </w:r>
          </w:p>
        </w:tc>
        <w:tc>
          <w:tcPr>
            <w:tcW w:w="195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03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14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9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2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67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</w:tr>
      <w:tr w:rsidR="007B5FF5" w:rsidRPr="00947F9D" w:rsidTr="00451FF9">
        <w:tc>
          <w:tcPr>
            <w:tcW w:w="1898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A3</w:t>
            </w:r>
          </w:p>
        </w:tc>
        <w:tc>
          <w:tcPr>
            <w:tcW w:w="195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03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14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9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2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67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</w:tr>
      <w:tr w:rsidR="007B5FF5" w:rsidRPr="00947F9D" w:rsidTr="00451FF9">
        <w:tc>
          <w:tcPr>
            <w:tcW w:w="1898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A4</w:t>
            </w:r>
          </w:p>
        </w:tc>
        <w:tc>
          <w:tcPr>
            <w:tcW w:w="195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03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14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9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2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67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</w:tr>
      <w:tr w:rsidR="007B5FF5" w:rsidRPr="00947F9D" w:rsidTr="00451FF9">
        <w:tc>
          <w:tcPr>
            <w:tcW w:w="1898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  <w:r>
              <w:rPr>
                <w:rFonts w:ascii="Open Sans" w:hAnsi="Open Sans" w:cs="Open Sans"/>
                <w:sz w:val="16"/>
                <w:szCs w:val="22"/>
              </w:rPr>
              <w:t>A5</w:t>
            </w:r>
          </w:p>
        </w:tc>
        <w:tc>
          <w:tcPr>
            <w:tcW w:w="195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03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914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9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822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  <w:tc>
          <w:tcPr>
            <w:tcW w:w="1671" w:type="dxa"/>
          </w:tcPr>
          <w:p w:rsidR="00451FF9" w:rsidRPr="00947F9D" w:rsidRDefault="00451FF9" w:rsidP="00240DC1">
            <w:pPr>
              <w:spacing w:after="240"/>
              <w:jc w:val="both"/>
              <w:rPr>
                <w:rFonts w:ascii="Open Sans" w:hAnsi="Open Sans" w:cs="Open Sans"/>
                <w:sz w:val="16"/>
                <w:szCs w:val="22"/>
              </w:rPr>
            </w:pPr>
          </w:p>
        </w:tc>
      </w:tr>
    </w:tbl>
    <w:p w:rsidR="00F41495" w:rsidRDefault="00F41495" w:rsidP="00F41495">
      <w:pPr>
        <w:spacing w:after="240"/>
        <w:jc w:val="both"/>
        <w:rPr>
          <w:rFonts w:ascii="Arial" w:hAnsi="Arial" w:cs="Arial"/>
          <w:sz w:val="22"/>
          <w:szCs w:val="22"/>
        </w:rPr>
      </w:pPr>
    </w:p>
    <w:p w:rsidR="00F41495" w:rsidRPr="00947F9D" w:rsidRDefault="00F41495" w:rsidP="00F41495">
      <w:pPr>
        <w:spacing w:after="240"/>
        <w:jc w:val="both"/>
        <w:rPr>
          <w:rFonts w:ascii="Open Sans" w:eastAsia="Calibri" w:hAnsi="Open Sans" w:cs="Open Sans"/>
          <w:b/>
          <w:sz w:val="20"/>
          <w:szCs w:val="22"/>
        </w:rPr>
      </w:pPr>
      <w:r w:rsidRPr="00947F9D">
        <w:rPr>
          <w:rFonts w:ascii="Open Sans" w:eastAsia="Calibri" w:hAnsi="Open Sans" w:cs="Open Sans"/>
          <w:b/>
          <w:sz w:val="20"/>
          <w:szCs w:val="22"/>
        </w:rPr>
        <w:t>DICAS:</w:t>
      </w:r>
      <w:bookmarkStart w:id="0" w:name="_GoBack"/>
      <w:bookmarkEnd w:id="0"/>
    </w:p>
    <w:p w:rsidR="00451FF9" w:rsidRDefault="00451FF9" w:rsidP="00F41495">
      <w:pPr>
        <w:spacing w:after="240"/>
        <w:jc w:val="both"/>
        <w:rPr>
          <w:rFonts w:ascii="Open Sans" w:eastAsia="Calibri" w:hAnsi="Open Sans" w:cs="Open Sans"/>
          <w:sz w:val="20"/>
          <w:szCs w:val="22"/>
        </w:rPr>
      </w:pPr>
      <w:r>
        <w:rPr>
          <w:rFonts w:ascii="Open Sans" w:eastAsia="Calibri" w:hAnsi="Open Sans" w:cs="Open Sans"/>
          <w:b/>
          <w:sz w:val="20"/>
          <w:szCs w:val="22"/>
        </w:rPr>
        <w:t>Descrição do achado</w:t>
      </w:r>
      <w:r>
        <w:rPr>
          <w:rFonts w:ascii="Open Sans" w:eastAsia="Calibri" w:hAnsi="Open Sans" w:cs="Open Sans"/>
          <w:sz w:val="20"/>
          <w:szCs w:val="22"/>
        </w:rPr>
        <w:t xml:space="preserve"> – </w:t>
      </w:r>
      <w:r w:rsidR="007B5FF5">
        <w:rPr>
          <w:rFonts w:ascii="Open Sans" w:eastAsia="Calibri" w:hAnsi="Open Sans" w:cs="Open Sans"/>
          <w:sz w:val="20"/>
          <w:szCs w:val="22"/>
        </w:rPr>
        <w:t xml:space="preserve">um achado de auditoria é qualquer fato significativo, digno de nota, indicativo de uma inconsistência entre o que foi encontrado e o que deveria ser. Neste campo, </w:t>
      </w:r>
      <w:r>
        <w:rPr>
          <w:rFonts w:ascii="Open Sans" w:eastAsia="Calibri" w:hAnsi="Open Sans" w:cs="Open Sans"/>
          <w:sz w:val="20"/>
          <w:szCs w:val="22"/>
        </w:rPr>
        <w:t xml:space="preserve">deve ser descrito o enunciado do achado </w:t>
      </w:r>
      <w:r w:rsidR="007B5FF5">
        <w:rPr>
          <w:rFonts w:ascii="Open Sans" w:eastAsia="Calibri" w:hAnsi="Open Sans" w:cs="Open Sans"/>
          <w:sz w:val="20"/>
          <w:szCs w:val="22"/>
        </w:rPr>
        <w:t xml:space="preserve">de maneira clara e objetiva </w:t>
      </w:r>
      <w:r>
        <w:rPr>
          <w:rFonts w:ascii="Open Sans" w:eastAsia="Calibri" w:hAnsi="Open Sans" w:cs="Open Sans"/>
          <w:sz w:val="20"/>
          <w:szCs w:val="22"/>
        </w:rPr>
        <w:t>(um achado para cada linha).</w:t>
      </w:r>
    </w:p>
    <w:p w:rsidR="00451FF9" w:rsidRDefault="00451FF9" w:rsidP="00F41495">
      <w:pPr>
        <w:spacing w:after="240"/>
        <w:jc w:val="both"/>
        <w:rPr>
          <w:rFonts w:ascii="Open Sans" w:eastAsia="Calibri" w:hAnsi="Open Sans" w:cs="Open Sans"/>
          <w:sz w:val="20"/>
          <w:szCs w:val="22"/>
        </w:rPr>
      </w:pPr>
      <w:r>
        <w:rPr>
          <w:rFonts w:ascii="Open Sans" w:eastAsia="Calibri" w:hAnsi="Open Sans" w:cs="Open Sans"/>
          <w:b/>
          <w:sz w:val="20"/>
          <w:szCs w:val="22"/>
        </w:rPr>
        <w:t>Situação encontrada</w:t>
      </w:r>
      <w:r>
        <w:rPr>
          <w:rFonts w:ascii="Open Sans" w:eastAsia="Calibri" w:hAnsi="Open Sans" w:cs="Open Sans"/>
          <w:sz w:val="20"/>
          <w:szCs w:val="22"/>
        </w:rPr>
        <w:t xml:space="preserve"> – situação existente, identificada, inclusive com o período de ocorrência, e documentada durante a fase de execução da auditoria.</w:t>
      </w:r>
    </w:p>
    <w:p w:rsidR="00451FF9" w:rsidRDefault="00451FF9" w:rsidP="00F41495">
      <w:pPr>
        <w:spacing w:after="240"/>
        <w:jc w:val="both"/>
        <w:rPr>
          <w:rFonts w:ascii="Open Sans" w:eastAsia="Calibri" w:hAnsi="Open Sans" w:cs="Open Sans"/>
          <w:sz w:val="20"/>
          <w:szCs w:val="22"/>
        </w:rPr>
      </w:pPr>
      <w:r>
        <w:rPr>
          <w:rFonts w:ascii="Open Sans" w:eastAsia="Calibri" w:hAnsi="Open Sans" w:cs="Open Sans"/>
          <w:b/>
          <w:sz w:val="20"/>
          <w:szCs w:val="22"/>
        </w:rPr>
        <w:t>Critérios de auditoria</w:t>
      </w:r>
      <w:r>
        <w:rPr>
          <w:rFonts w:ascii="Open Sans" w:eastAsia="Calibri" w:hAnsi="Open Sans" w:cs="Open Sans"/>
          <w:sz w:val="20"/>
          <w:szCs w:val="22"/>
        </w:rPr>
        <w:t xml:space="preserve"> – </w:t>
      </w:r>
      <w:r w:rsidR="007B5FF5">
        <w:rPr>
          <w:rFonts w:ascii="Open Sans" w:eastAsia="Calibri" w:hAnsi="Open Sans" w:cs="Open Sans"/>
          <w:sz w:val="20"/>
          <w:szCs w:val="22"/>
        </w:rPr>
        <w:t xml:space="preserve">o que deveria ser, extraído da </w:t>
      </w:r>
      <w:r>
        <w:rPr>
          <w:rFonts w:ascii="Open Sans" w:eastAsia="Calibri" w:hAnsi="Open Sans" w:cs="Open Sans"/>
          <w:sz w:val="20"/>
          <w:szCs w:val="22"/>
        </w:rPr>
        <w:t>legislação, norma, jurisprudência, entendimento doutrinário e até interpretações extraídas de análises qualitativas efetuadas sobre as informações coletadas.</w:t>
      </w:r>
    </w:p>
    <w:p w:rsidR="00451FF9" w:rsidRPr="00451FF9" w:rsidRDefault="00451FF9" w:rsidP="00F41495">
      <w:pPr>
        <w:spacing w:after="240"/>
        <w:jc w:val="both"/>
        <w:rPr>
          <w:rFonts w:ascii="Open Sans" w:eastAsia="Calibri" w:hAnsi="Open Sans" w:cs="Open Sans"/>
          <w:sz w:val="20"/>
          <w:szCs w:val="22"/>
        </w:rPr>
      </w:pPr>
      <w:r>
        <w:rPr>
          <w:rFonts w:ascii="Open Sans" w:eastAsia="Calibri" w:hAnsi="Open Sans" w:cs="Open Sans"/>
          <w:b/>
          <w:sz w:val="20"/>
          <w:szCs w:val="22"/>
        </w:rPr>
        <w:t xml:space="preserve">Causas </w:t>
      </w:r>
      <w:r>
        <w:rPr>
          <w:rFonts w:ascii="Open Sans" w:eastAsia="Calibri" w:hAnsi="Open Sans" w:cs="Open Sans"/>
          <w:sz w:val="20"/>
          <w:szCs w:val="22"/>
        </w:rPr>
        <w:t>– aquilo que ensejou a ocorrência do achado. Fatos, atos ou contratos sem os quais o achado não teria ocorrido.</w:t>
      </w:r>
    </w:p>
    <w:p w:rsidR="00451FF9" w:rsidRDefault="00451FF9" w:rsidP="00F41495">
      <w:pPr>
        <w:spacing w:after="240"/>
        <w:jc w:val="both"/>
        <w:rPr>
          <w:rFonts w:ascii="Open Sans" w:eastAsia="Calibri" w:hAnsi="Open Sans" w:cs="Open Sans"/>
          <w:sz w:val="20"/>
          <w:szCs w:val="22"/>
        </w:rPr>
      </w:pPr>
      <w:r>
        <w:rPr>
          <w:rFonts w:ascii="Open Sans" w:eastAsia="Calibri" w:hAnsi="Open Sans" w:cs="Open Sans"/>
          <w:b/>
          <w:sz w:val="20"/>
          <w:szCs w:val="22"/>
        </w:rPr>
        <w:t>Efeitos</w:t>
      </w:r>
      <w:r>
        <w:rPr>
          <w:rFonts w:ascii="Open Sans" w:eastAsia="Calibri" w:hAnsi="Open Sans" w:cs="Open Sans"/>
          <w:sz w:val="20"/>
          <w:szCs w:val="22"/>
        </w:rPr>
        <w:t xml:space="preserve"> – Consequências ou possíveis consequências do achado.</w:t>
      </w:r>
    </w:p>
    <w:p w:rsidR="004B4A9A" w:rsidRDefault="00451FF9" w:rsidP="00451FF9">
      <w:pPr>
        <w:spacing w:after="240"/>
        <w:jc w:val="both"/>
      </w:pPr>
      <w:r>
        <w:rPr>
          <w:rFonts w:ascii="Open Sans" w:eastAsia="Calibri" w:hAnsi="Open Sans" w:cs="Open Sans"/>
          <w:b/>
          <w:sz w:val="20"/>
          <w:szCs w:val="22"/>
        </w:rPr>
        <w:t>Recomendações</w:t>
      </w:r>
      <w:r w:rsidR="007B5FF5">
        <w:rPr>
          <w:rFonts w:ascii="Open Sans" w:eastAsia="Calibri" w:hAnsi="Open Sans" w:cs="Open Sans"/>
          <w:b/>
          <w:sz w:val="20"/>
          <w:szCs w:val="22"/>
        </w:rPr>
        <w:t>/encaminhamentos</w:t>
      </w:r>
      <w:r>
        <w:rPr>
          <w:rFonts w:ascii="Open Sans" w:eastAsia="Calibri" w:hAnsi="Open Sans" w:cs="Open Sans"/>
          <w:sz w:val="20"/>
          <w:szCs w:val="22"/>
        </w:rPr>
        <w:t xml:space="preserve"> – proposta da equipe de auditoria para regularização </w:t>
      </w:r>
      <w:r w:rsidR="007B5FF5">
        <w:rPr>
          <w:rFonts w:ascii="Open Sans" w:eastAsia="Calibri" w:hAnsi="Open Sans" w:cs="Open Sans"/>
          <w:sz w:val="20"/>
          <w:szCs w:val="22"/>
        </w:rPr>
        <w:t xml:space="preserve">ou apuração processual </w:t>
      </w:r>
      <w:r>
        <w:rPr>
          <w:rFonts w:ascii="Open Sans" w:eastAsia="Calibri" w:hAnsi="Open Sans" w:cs="Open Sans"/>
          <w:sz w:val="20"/>
          <w:szCs w:val="22"/>
        </w:rPr>
        <w:t xml:space="preserve">do achado, devendo conter a identificação </w:t>
      </w:r>
      <w:proofErr w:type="gramStart"/>
      <w:r>
        <w:rPr>
          <w:rFonts w:ascii="Open Sans" w:eastAsia="Calibri" w:hAnsi="Open Sans" w:cs="Open Sans"/>
          <w:sz w:val="20"/>
          <w:szCs w:val="22"/>
        </w:rPr>
        <w:t>do(</w:t>
      </w:r>
      <w:proofErr w:type="gramEnd"/>
      <w:r>
        <w:rPr>
          <w:rFonts w:ascii="Open Sans" w:eastAsia="Calibri" w:hAnsi="Open Sans" w:cs="Open Sans"/>
          <w:sz w:val="20"/>
          <w:szCs w:val="22"/>
        </w:rPr>
        <w:t>s) responsável(</w:t>
      </w:r>
      <w:proofErr w:type="spellStart"/>
      <w:r>
        <w:rPr>
          <w:rFonts w:ascii="Open Sans" w:eastAsia="Calibri" w:hAnsi="Open Sans" w:cs="Open Sans"/>
          <w:sz w:val="20"/>
          <w:szCs w:val="22"/>
        </w:rPr>
        <w:t>is</w:t>
      </w:r>
      <w:proofErr w:type="spellEnd"/>
      <w:r>
        <w:rPr>
          <w:rFonts w:ascii="Open Sans" w:eastAsia="Calibri" w:hAnsi="Open Sans" w:cs="Open Sans"/>
          <w:sz w:val="20"/>
          <w:szCs w:val="22"/>
        </w:rPr>
        <w:t>).</w:t>
      </w:r>
    </w:p>
    <w:sectPr w:rsidR="004B4A9A" w:rsidSect="00F41495">
      <w:headerReference w:type="default" r:id="rId6"/>
      <w:footerReference w:type="default" r:id="rId7"/>
      <w:pgSz w:w="15840" w:h="12240" w:orient="landscape"/>
      <w:pgMar w:top="2127" w:right="1418" w:bottom="113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FA" w:rsidRDefault="00DC3DFA" w:rsidP="00F41495">
      <w:r>
        <w:separator/>
      </w:r>
    </w:p>
  </w:endnote>
  <w:endnote w:type="continuationSeparator" w:id="0">
    <w:p w:rsidR="00DC3DFA" w:rsidRDefault="00DC3DFA" w:rsidP="00F4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779638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</w:rPr>
    </w:sdtEndPr>
    <w:sdtContent>
      <w:sdt>
        <w:sdtPr>
          <w:rPr>
            <w:rFonts w:ascii="Open Sans" w:hAnsi="Open Sans" w:cs="Open Sans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1495" w:rsidRPr="00F41495" w:rsidRDefault="00F41495">
            <w:pPr>
              <w:pStyle w:val="Rodap"/>
              <w:jc w:val="right"/>
              <w:rPr>
                <w:rFonts w:ascii="Open Sans" w:hAnsi="Open Sans" w:cs="Open Sans"/>
                <w:sz w:val="18"/>
              </w:rPr>
            </w:pPr>
            <w:r w:rsidRPr="00F41495">
              <w:rPr>
                <w:rFonts w:ascii="Open Sans" w:hAnsi="Open Sans" w:cs="Open Sans"/>
                <w:sz w:val="18"/>
              </w:rPr>
              <w:t xml:space="preserve">Página </w:t>
            </w:r>
            <w:r w:rsidRPr="00F41495">
              <w:rPr>
                <w:rFonts w:ascii="Open Sans" w:hAnsi="Open Sans" w:cs="Open Sans"/>
                <w:b/>
                <w:bCs/>
                <w:sz w:val="18"/>
              </w:rPr>
              <w:fldChar w:fldCharType="begin"/>
            </w:r>
            <w:r w:rsidRPr="00F41495">
              <w:rPr>
                <w:rFonts w:ascii="Open Sans" w:hAnsi="Open Sans" w:cs="Open Sans"/>
                <w:b/>
                <w:bCs/>
                <w:sz w:val="18"/>
              </w:rPr>
              <w:instrText>PAGE</w:instrText>
            </w:r>
            <w:r w:rsidRPr="00F41495">
              <w:rPr>
                <w:rFonts w:ascii="Open Sans" w:hAnsi="Open Sans" w:cs="Open Sans"/>
                <w:b/>
                <w:bCs/>
                <w:sz w:val="18"/>
              </w:rPr>
              <w:fldChar w:fldCharType="separate"/>
            </w:r>
            <w:r w:rsidR="007B5FF5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F41495">
              <w:rPr>
                <w:rFonts w:ascii="Open Sans" w:hAnsi="Open Sans" w:cs="Open Sans"/>
                <w:b/>
                <w:bCs/>
                <w:sz w:val="18"/>
              </w:rPr>
              <w:fldChar w:fldCharType="end"/>
            </w:r>
            <w:r w:rsidRPr="00F41495">
              <w:rPr>
                <w:rFonts w:ascii="Open Sans" w:hAnsi="Open Sans" w:cs="Open Sans"/>
                <w:sz w:val="18"/>
              </w:rPr>
              <w:t xml:space="preserve"> de </w:t>
            </w:r>
            <w:r w:rsidRPr="00F41495">
              <w:rPr>
                <w:rFonts w:ascii="Open Sans" w:hAnsi="Open Sans" w:cs="Open Sans"/>
                <w:b/>
                <w:bCs/>
                <w:sz w:val="18"/>
              </w:rPr>
              <w:fldChar w:fldCharType="begin"/>
            </w:r>
            <w:r w:rsidRPr="00F41495">
              <w:rPr>
                <w:rFonts w:ascii="Open Sans" w:hAnsi="Open Sans" w:cs="Open Sans"/>
                <w:b/>
                <w:bCs/>
                <w:sz w:val="18"/>
              </w:rPr>
              <w:instrText>NUMPAGES</w:instrText>
            </w:r>
            <w:r w:rsidRPr="00F41495">
              <w:rPr>
                <w:rFonts w:ascii="Open Sans" w:hAnsi="Open Sans" w:cs="Open Sans"/>
                <w:b/>
                <w:bCs/>
                <w:sz w:val="18"/>
              </w:rPr>
              <w:fldChar w:fldCharType="separate"/>
            </w:r>
            <w:r w:rsidR="007B5FF5">
              <w:rPr>
                <w:rFonts w:ascii="Open Sans" w:hAnsi="Open Sans" w:cs="Open Sans"/>
                <w:b/>
                <w:bCs/>
                <w:noProof/>
                <w:sz w:val="18"/>
              </w:rPr>
              <w:t>1</w:t>
            </w:r>
            <w:r w:rsidRPr="00F41495">
              <w:rPr>
                <w:rFonts w:ascii="Open Sans" w:hAnsi="Open Sans" w:cs="Open Sans"/>
                <w:b/>
                <w:bCs/>
                <w:sz w:val="18"/>
              </w:rPr>
              <w:fldChar w:fldCharType="end"/>
            </w:r>
          </w:p>
        </w:sdtContent>
      </w:sdt>
    </w:sdtContent>
  </w:sdt>
  <w:p w:rsidR="00914190" w:rsidRDefault="00DC3DFA" w:rsidP="007A4AB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FA" w:rsidRDefault="00DC3DFA" w:rsidP="00F41495">
      <w:r>
        <w:separator/>
      </w:r>
    </w:p>
  </w:footnote>
  <w:footnote w:type="continuationSeparator" w:id="0">
    <w:p w:rsidR="00DC3DFA" w:rsidRDefault="00DC3DFA" w:rsidP="00F41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90" w:rsidRPr="002502A1" w:rsidRDefault="00F41495" w:rsidP="007A4ABE">
    <w:pPr>
      <w:pStyle w:val="Cabealh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1000760</wp:posOffset>
              </wp:positionH>
              <wp:positionV relativeFrom="paragraph">
                <wp:posOffset>337185</wp:posOffset>
              </wp:positionV>
              <wp:extent cx="4880610" cy="373380"/>
              <wp:effectExtent l="5715" t="7620" r="9525" b="952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0610" cy="373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760" w:rsidRPr="00055760" w:rsidRDefault="006D7092">
                          <w:pPr>
                            <w:rPr>
                              <w:rFonts w:ascii="Open Sans" w:hAnsi="Open Sans" w:cs="Open Sans"/>
                              <w:sz w:val="18"/>
                            </w:rPr>
                          </w:pPr>
                          <w:r w:rsidRPr="00055760">
                            <w:rPr>
                              <w:rFonts w:ascii="Open Sans" w:hAnsi="Open Sans" w:cs="Open Sans"/>
                              <w:sz w:val="18"/>
                            </w:rPr>
                            <w:t xml:space="preserve">Modelo de Matriz de </w:t>
                          </w:r>
                          <w:r w:rsidR="007B5FF5">
                            <w:rPr>
                              <w:rFonts w:ascii="Open Sans" w:hAnsi="Open Sans" w:cs="Open Sans"/>
                              <w:sz w:val="18"/>
                            </w:rPr>
                            <w:t>Achados</w:t>
                          </w:r>
                          <w:r w:rsidRPr="00055760">
                            <w:rPr>
                              <w:rFonts w:ascii="Open Sans" w:hAnsi="Open Sans" w:cs="Open Sans"/>
                              <w:sz w:val="18"/>
                            </w:rPr>
                            <w:t xml:space="preserve"> elaborado pela </w:t>
                          </w:r>
                          <w:proofErr w:type="spellStart"/>
                          <w:r w:rsidRPr="00055760">
                            <w:rPr>
                              <w:rFonts w:ascii="Open Sans" w:hAnsi="Open Sans" w:cs="Open Sans"/>
                              <w:sz w:val="18"/>
                            </w:rPr>
                            <w:t>AudTCE</w:t>
                          </w:r>
                          <w:proofErr w:type="spellEnd"/>
                          <w:r w:rsidRPr="00055760">
                            <w:rPr>
                              <w:rFonts w:ascii="Open Sans" w:hAnsi="Open Sans" w:cs="Open Sans"/>
                              <w:sz w:val="18"/>
                            </w:rPr>
                            <w:t xml:space="preserve">/AP </w:t>
                          </w:r>
                          <w:r>
                            <w:rPr>
                              <w:rFonts w:ascii="Open Sans" w:hAnsi="Open Sans" w:cs="Open Sans"/>
                              <w:sz w:val="18"/>
                            </w:rPr>
                            <w:t>inspirado</w:t>
                          </w:r>
                          <w:r w:rsidRPr="00055760">
                            <w:rPr>
                              <w:rFonts w:ascii="Open Sans" w:hAnsi="Open Sans" w:cs="Open Sans"/>
                              <w:sz w:val="18"/>
                            </w:rPr>
                            <w:t xml:space="preserve"> no Manual de Auditoria do TCE/AP (Resolução Executiva nº.061/2015-TCE/AP) </w:t>
                          </w:r>
                          <w:r>
                            <w:rPr>
                              <w:rFonts w:ascii="Open Sans" w:hAnsi="Open Sans" w:cs="Open Sans"/>
                              <w:sz w:val="18"/>
                            </w:rPr>
                            <w:t>e em manuais do TCU.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8.8pt;margin-top:26.55pt;width:384.3pt;height:29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">
              <v:textbox>
                <w:txbxContent>
                  <w:p w:rsidR="00055760" w:rsidRPr="00055760" w:rsidRDefault="006D7092">
                    <w:pPr>
                      <w:rPr>
                        <w:rFonts w:ascii="Open Sans" w:hAnsi="Open Sans" w:cs="Open Sans"/>
                        <w:sz w:val="18"/>
                      </w:rPr>
                    </w:pPr>
                    <w:r w:rsidRPr="00055760">
                      <w:rPr>
                        <w:rFonts w:ascii="Open Sans" w:hAnsi="Open Sans" w:cs="Open Sans"/>
                        <w:sz w:val="18"/>
                      </w:rPr>
                      <w:t xml:space="preserve">Modelo de Matriz de </w:t>
                    </w:r>
                    <w:r w:rsidR="007B5FF5">
                      <w:rPr>
                        <w:rFonts w:ascii="Open Sans" w:hAnsi="Open Sans" w:cs="Open Sans"/>
                        <w:sz w:val="18"/>
                      </w:rPr>
                      <w:t>Achados</w:t>
                    </w:r>
                    <w:r w:rsidRPr="00055760">
                      <w:rPr>
                        <w:rFonts w:ascii="Open Sans" w:hAnsi="Open Sans" w:cs="Open Sans"/>
                        <w:sz w:val="18"/>
                      </w:rPr>
                      <w:t xml:space="preserve"> elaborado pela </w:t>
                    </w:r>
                    <w:proofErr w:type="spellStart"/>
                    <w:r w:rsidRPr="00055760">
                      <w:rPr>
                        <w:rFonts w:ascii="Open Sans" w:hAnsi="Open Sans" w:cs="Open Sans"/>
                        <w:sz w:val="18"/>
                      </w:rPr>
                      <w:t>AudTCE</w:t>
                    </w:r>
                    <w:proofErr w:type="spellEnd"/>
                    <w:r w:rsidRPr="00055760">
                      <w:rPr>
                        <w:rFonts w:ascii="Open Sans" w:hAnsi="Open Sans" w:cs="Open Sans"/>
                        <w:sz w:val="18"/>
                      </w:rPr>
                      <w:t xml:space="preserve">/AP </w:t>
                    </w:r>
                    <w:r>
                      <w:rPr>
                        <w:rFonts w:ascii="Open Sans" w:hAnsi="Open Sans" w:cs="Open Sans"/>
                        <w:sz w:val="18"/>
                      </w:rPr>
                      <w:t>inspirado</w:t>
                    </w:r>
                    <w:r w:rsidRPr="00055760">
                      <w:rPr>
                        <w:rFonts w:ascii="Open Sans" w:hAnsi="Open Sans" w:cs="Open Sans"/>
                        <w:sz w:val="18"/>
                      </w:rPr>
                      <w:t xml:space="preserve"> no Manual de Auditoria do TCE/AP (Resolução Executiva nº.061/2015-TCE/AP) </w:t>
                    </w:r>
                    <w:r>
                      <w:rPr>
                        <w:rFonts w:ascii="Open Sans" w:hAnsi="Open Sans" w:cs="Open Sans"/>
                        <w:sz w:val="18"/>
                      </w:rPr>
                      <w:t>e em manuais do TCU.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</w:rPr>
      <w:drawing>
        <wp:inline distT="0" distB="0" distL="0" distR="0">
          <wp:extent cx="752475" cy="885825"/>
          <wp:effectExtent l="0" t="0" r="9525" b="9525"/>
          <wp:docPr id="9" name="Imagem 9" descr="C:\Users\victor.andrade\Desktop\AUD-TCE AP\Identidade Visual AudTCE\AudTCEAP_logotyp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.andrade\Desktop\AUD-TCE AP\Identidade Visual AudTCE\AudTCEAP_logotyp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95"/>
    <w:rsid w:val="003E4830"/>
    <w:rsid w:val="00451FF9"/>
    <w:rsid w:val="00507132"/>
    <w:rsid w:val="006D7092"/>
    <w:rsid w:val="007B5FF5"/>
    <w:rsid w:val="00DC3DFA"/>
    <w:rsid w:val="00F263F2"/>
    <w:rsid w:val="00F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C21BE-1654-484B-BEDA-B7761F58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149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41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4149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4149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8">
    <w:name w:val="Table Grid 8"/>
    <w:basedOn w:val="Tabelanormal"/>
    <w:rsid w:val="00F4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Andrade Leite</dc:creator>
  <cp:keywords/>
  <dc:description/>
  <cp:lastModifiedBy>Victor Andrade Leite</cp:lastModifiedBy>
  <cp:revision>3</cp:revision>
  <dcterms:created xsi:type="dcterms:W3CDTF">2018-04-26T23:15:00Z</dcterms:created>
  <dcterms:modified xsi:type="dcterms:W3CDTF">2022-10-14T16:03:00Z</dcterms:modified>
</cp:coreProperties>
</file>